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LafargeHolcim Maroc</w:t>
      </w:r>
    </w:p>
    <w:p w:rsidR="00000000" w:rsidDel="00000000" w:rsidP="00000000" w:rsidRDefault="00000000" w:rsidRPr="00000000" w14:paraId="00000002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Société anonyme</w:t>
      </w:r>
    </w:p>
    <w:p w:rsidR="00000000" w:rsidDel="00000000" w:rsidP="00000000" w:rsidRDefault="00000000" w:rsidRPr="00000000" w14:paraId="00000003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au capital de 702.138.750 dirhams</w:t>
      </w:r>
    </w:p>
    <w:p w:rsidR="00000000" w:rsidDel="00000000" w:rsidP="00000000" w:rsidRDefault="00000000" w:rsidRPr="00000000" w14:paraId="00000004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Siège social : 6, Route de Mekka, Quartier les Crêtes – Casablanca</w:t>
      </w:r>
    </w:p>
    <w:p w:rsidR="00000000" w:rsidDel="00000000" w:rsidP="00000000" w:rsidRDefault="00000000" w:rsidRPr="00000000" w14:paraId="00000005">
      <w:pPr>
        <w:pBdr>
          <w:bottom w:color="000000" w:space="1" w:sz="12" w:val="single"/>
        </w:pBd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Registre du Commerce de Casablanca n°40779</w:t>
      </w:r>
    </w:p>
    <w:p w:rsidR="00000000" w:rsidDel="00000000" w:rsidP="00000000" w:rsidRDefault="00000000" w:rsidRPr="00000000" w14:paraId="00000006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NOMBRE D’ACTIONS ET DE VOIX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 la date de la publication de l’avis de convocation de l’Assemblée Générale Mixte du 22 mai 2026, la société </w:t>
      </w:r>
      <w:r w:rsidDel="00000000" w:rsidR="00000000" w:rsidRPr="00000000">
        <w:rPr>
          <w:b w:val="1"/>
          <w:bCs w:val="1"/>
          <w:rtl w:val="0"/>
        </w:rPr>
        <w:t xml:space="preserve">LAFARGEHOLCIM MAROC</w:t>
      </w:r>
      <w:r w:rsidDel="00000000" w:rsidR="00000000" w:rsidRPr="00000000">
        <w:rPr>
          <w:rtl w:val="0"/>
        </w:rPr>
        <w:t xml:space="preserve"> justifie 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d’un capital social de 702.937.200 dirhams,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23.431.240 actions formant le capital social,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23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319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589 actions sur la totalité des actions formant le capital ont le droit de vote.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fr-MA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qof5jpu+/OYtWJ65E7XnppsDdA==">CgMxLjA4AHIhMVFnekl3RmJGUWxuaFJFUXplX3lYQTFFQTliWk9NdDhF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